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590613">
        <w:rPr>
          <w:bCs/>
          <w:sz w:val="22"/>
          <w:szCs w:val="22"/>
        </w:rPr>
        <w:t>Course Syllabus</w:t>
      </w:r>
      <w:r w:rsidRPr="005F3A1E">
        <w:rPr>
          <w:bCs/>
          <w:sz w:val="22"/>
          <w:szCs w:val="22"/>
        </w:rPr>
        <w:t xml:space="preserve"> </w:t>
      </w:r>
    </w:p>
    <w:p w14:paraId="2CA68A1D" w14:textId="77777777" w:rsidR="00385793" w:rsidRPr="00590613" w:rsidRDefault="00385793" w:rsidP="00192F3E">
      <w:pPr>
        <w:jc w:val="center"/>
        <w:rPr>
          <w:bCs/>
          <w:sz w:val="20"/>
          <w:szCs w:val="20"/>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48FC9A03"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590613" w:rsidRPr="00FD2A06">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77445883" w:rsidR="00641FAC" w:rsidRPr="005F3A1E" w:rsidRDefault="001248E0" w:rsidP="00590613">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7D5EF6" w:rsidRPr="007D5EF6">
              <w:rPr>
                <w:rFonts w:ascii="Times New Roman" w:hAnsi="Times New Roman" w:cs="Times New Roman"/>
                <w:b/>
                <w:bCs/>
                <w:sz w:val="20"/>
                <w:szCs w:val="20"/>
              </w:rPr>
              <w:t xml:space="preserve">Economics of the </w:t>
            </w:r>
            <w:r w:rsidR="00590613">
              <w:rPr>
                <w:rFonts w:ascii="Times New Roman" w:hAnsi="Times New Roman" w:cs="Times New Roman"/>
                <w:b/>
                <w:bCs/>
                <w:sz w:val="20"/>
                <w:szCs w:val="20"/>
              </w:rPr>
              <w:t>Service S</w:t>
            </w:r>
            <w:r w:rsidR="007D5EF6" w:rsidRPr="007D5EF6">
              <w:rPr>
                <w:rFonts w:ascii="Times New Roman" w:hAnsi="Times New Roman" w:cs="Times New Roman"/>
                <w:b/>
                <w:bCs/>
                <w:sz w:val="20"/>
                <w:szCs w:val="20"/>
              </w:rPr>
              <w:t>ector</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430EEAC4" w:rsidR="00641FAC" w:rsidRPr="002C5A1D" w:rsidRDefault="00B97188" w:rsidP="00590613">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2C5A1D" w:rsidRPr="00590613">
              <w:rPr>
                <w:rFonts w:ascii="Times New Roman" w:hAnsi="Times New Roman" w:cs="Times New Roman"/>
                <w:bCs/>
                <w:sz w:val="20"/>
                <w:szCs w:val="20"/>
              </w:rPr>
              <w:t>Vladislav Marjanović,</w:t>
            </w:r>
            <w:r w:rsidR="00590613" w:rsidRPr="00590613">
              <w:rPr>
                <w:rFonts w:ascii="Times New Roman" w:hAnsi="Times New Roman" w:cs="Times New Roman"/>
                <w:bCs/>
                <w:sz w:val="20"/>
                <w:szCs w:val="20"/>
              </w:rPr>
              <w:t xml:space="preserve"> PhD,</w:t>
            </w:r>
            <w:r w:rsidR="002C5A1D" w:rsidRPr="00590613">
              <w:rPr>
                <w:rFonts w:ascii="Times New Roman" w:hAnsi="Times New Roman" w:cs="Times New Roman"/>
                <w:bCs/>
                <w:sz w:val="20"/>
                <w:szCs w:val="20"/>
              </w:rPr>
              <w:t xml:space="preserve"> Marija Petrović-Ranđelović</w:t>
            </w:r>
            <w:r w:rsidR="00590613" w:rsidRPr="00590613">
              <w:rPr>
                <w:rFonts w:ascii="Times New Roman" w:hAnsi="Times New Roman" w:cs="Times New Roman"/>
                <w:bCs/>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1ACEC377"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FD2A06" w:rsidRPr="00345AF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2E5141DD" w:rsidR="00641FAC" w:rsidRPr="00590613"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590613">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4E0095">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30F451AA" w:rsidR="00757089" w:rsidRPr="00757089" w:rsidRDefault="00CE7A4B" w:rsidP="004E0095">
            <w:pPr>
              <w:pStyle w:val="ListParagraph"/>
              <w:tabs>
                <w:tab w:val="left" w:pos="567"/>
              </w:tabs>
              <w:spacing w:before="60" w:after="60"/>
              <w:ind w:left="0"/>
              <w:jc w:val="both"/>
              <w:rPr>
                <w:rFonts w:ascii="Times New Roman" w:hAnsi="Times New Roman" w:cs="Times New Roman"/>
                <w:bCs/>
                <w:iCs/>
                <w:sz w:val="20"/>
                <w:szCs w:val="20"/>
              </w:rPr>
            </w:pPr>
            <w:r w:rsidRPr="00CE7A4B">
              <w:rPr>
                <w:rFonts w:ascii="Times New Roman" w:hAnsi="Times New Roman" w:cs="Times New Roman"/>
                <w:bCs/>
                <w:iCs/>
                <w:sz w:val="20"/>
                <w:szCs w:val="20"/>
              </w:rPr>
              <w:t>The aim of the course Econom</w:t>
            </w:r>
            <w:r>
              <w:rPr>
                <w:rFonts w:ascii="Times New Roman" w:hAnsi="Times New Roman" w:cs="Times New Roman"/>
                <w:bCs/>
                <w:iCs/>
                <w:sz w:val="20"/>
                <w:szCs w:val="20"/>
              </w:rPr>
              <w:t>ics</w:t>
            </w:r>
            <w:r w:rsidRPr="00CE7A4B">
              <w:rPr>
                <w:rFonts w:ascii="Times New Roman" w:hAnsi="Times New Roman" w:cs="Times New Roman"/>
                <w:bCs/>
                <w:iCs/>
                <w:sz w:val="20"/>
                <w:szCs w:val="20"/>
              </w:rPr>
              <w:t xml:space="preserve"> of the service sector is to enable students to understand the theoretical, structural, developmental and institutional foundations of the service economy as the dominant form of organization of modern economies. The course aims to enable students to analyze the emergence and development of the service sector, the process of tertiarization and post-industrial transformation of the economy, as well as the role of the service sector in economic growth, employment, competitiveness and structural changes in modern economies. Special emphasis is placed on the productivity and competitiveness of the service sector, globalization and international trade in services, digital transformation, innovation and new business models in the service economy. The goal of the course is for students to gain insight into the importance of human capital, knowledge-intensive services, institutional framework, service sector development policies and the concept of sustainable development in the modern service economy. Also, the course aims to enable students to understand the development of the service sector in the European Union and the Republic of Serbia, as well as the contemporary challenges and perspectives of the development of the service economy in the conditions of digitization, globalization and sustainable development</w:t>
            </w:r>
            <w:r w:rsidR="00176BF6" w:rsidRPr="00176BF6">
              <w:rPr>
                <w:rFonts w:ascii="Times New Roman" w:hAnsi="Times New Roman" w:cs="Times New Roman"/>
                <w:bCs/>
                <w:iCs/>
                <w:sz w:val="20"/>
                <w:szCs w:val="20"/>
              </w:rPr>
              <w:t>.</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4E0095">
            <w:pPr>
              <w:tabs>
                <w:tab w:val="left" w:pos="567"/>
              </w:tabs>
              <w:spacing w:before="60" w:after="60"/>
              <w:jc w:val="both"/>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40D4579C" w14:textId="5155CA9F" w:rsidR="00BA156B" w:rsidRDefault="00176BF6" w:rsidP="004E0095">
            <w:pPr>
              <w:pStyle w:val="Body"/>
              <w:tabs>
                <w:tab w:val="left" w:pos="567"/>
              </w:tabs>
              <w:spacing w:before="60" w:after="60"/>
              <w:contextualSpacing/>
              <w:jc w:val="both"/>
              <w:rPr>
                <w:rFonts w:ascii="Times New Roman" w:hAnsi="Times New Roman"/>
                <w:sz w:val="20"/>
                <w:szCs w:val="20"/>
              </w:rPr>
            </w:pPr>
            <w:r w:rsidRPr="00176BF6">
              <w:rPr>
                <w:rFonts w:ascii="Times New Roman" w:hAnsi="Times New Roman"/>
                <w:sz w:val="20"/>
                <w:szCs w:val="20"/>
              </w:rPr>
              <w:t>Upon completion of the course, students will acquire the following knowledge, skills and competencies:</w:t>
            </w:r>
          </w:p>
          <w:p w14:paraId="760FBA66" w14:textId="3DD582F7" w:rsidR="00176BF6" w:rsidRPr="00176BF6" w:rsidRDefault="00A228F2" w:rsidP="004E0095">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1. Knowledge and understanding</w:t>
            </w:r>
          </w:p>
          <w:p w14:paraId="51299E0C" w14:textId="499C1A74" w:rsidR="00176BF6" w:rsidRDefault="00CE7A4B" w:rsidP="004E0095">
            <w:pPr>
              <w:pStyle w:val="Body"/>
              <w:tabs>
                <w:tab w:val="left" w:pos="567"/>
              </w:tabs>
              <w:spacing w:before="60" w:after="60"/>
              <w:contextualSpacing/>
              <w:jc w:val="both"/>
              <w:rPr>
                <w:rFonts w:ascii="Times New Roman" w:hAnsi="Times New Roman"/>
                <w:sz w:val="20"/>
                <w:szCs w:val="20"/>
              </w:rPr>
            </w:pPr>
            <w:r w:rsidRPr="00CE7A4B">
              <w:rPr>
                <w:rFonts w:ascii="Times New Roman" w:hAnsi="Times New Roman"/>
                <w:sz w:val="20"/>
                <w:szCs w:val="20"/>
              </w:rPr>
              <w:t>Students will gain knowledge about the emergence, development and basic characteristics of the service economy, the process of tertiarization and the role of the service sector in economic growth, employment and structural changes in modern economies. Students will also gain knowledge about the productivity and competitiveness of the service sector, globalization and international trade in services, digital transformation, innovation, institutional aspects and sustainable development of the service economy</w:t>
            </w:r>
            <w:r w:rsidR="00176BF6">
              <w:rPr>
                <w:rFonts w:ascii="Times New Roman" w:hAnsi="Times New Roman"/>
                <w:sz w:val="20"/>
                <w:szCs w:val="20"/>
              </w:rPr>
              <w:t>.</w:t>
            </w:r>
          </w:p>
          <w:p w14:paraId="2CD6D28A" w14:textId="0C8EA607" w:rsidR="00176BF6" w:rsidRPr="00176BF6" w:rsidRDefault="00A228F2" w:rsidP="004E0095">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2. Application of knowledge and understanding</w:t>
            </w:r>
          </w:p>
          <w:p w14:paraId="2D46018E" w14:textId="3350C354" w:rsidR="00176BF6" w:rsidRDefault="00CE7A4B" w:rsidP="004E0095">
            <w:pPr>
              <w:pStyle w:val="Body"/>
              <w:tabs>
                <w:tab w:val="left" w:pos="567"/>
              </w:tabs>
              <w:spacing w:before="60" w:after="60"/>
              <w:contextualSpacing/>
              <w:jc w:val="both"/>
              <w:rPr>
                <w:rFonts w:ascii="Times New Roman" w:hAnsi="Times New Roman"/>
                <w:sz w:val="20"/>
                <w:szCs w:val="20"/>
              </w:rPr>
            </w:pPr>
            <w:r w:rsidRPr="00CE7A4B">
              <w:rPr>
                <w:rFonts w:ascii="Times New Roman" w:hAnsi="Times New Roman"/>
                <w:sz w:val="20"/>
                <w:szCs w:val="20"/>
              </w:rPr>
              <w:t>Students will be able to apply economic and analytical approaches in analyzing the development of the service sector and its impact on contemporary economic trends, analyze the role of services in economic growth, competitiveness, employment and regional development, as well as assess the effects of globalization, digitalization and innovation on the transformation of the service economy. Students will also be able to analyze institutional and development policies in the field of the service sector, as well as gain insight into the specifics of the development of the service economy in the European Union and the Republic of Serbia</w:t>
            </w:r>
            <w:r w:rsidR="00176BF6">
              <w:rPr>
                <w:rFonts w:ascii="Times New Roman" w:hAnsi="Times New Roman"/>
                <w:sz w:val="20"/>
                <w:szCs w:val="20"/>
              </w:rPr>
              <w:t>.</w:t>
            </w:r>
          </w:p>
          <w:p w14:paraId="77A8755F" w14:textId="0128DB56" w:rsidR="00176BF6" w:rsidRPr="00176BF6" w:rsidRDefault="00A228F2" w:rsidP="004E0095">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3. Making Judgments</w:t>
            </w:r>
          </w:p>
          <w:p w14:paraId="299E17B7" w14:textId="5ACDABEC" w:rsidR="00176BF6" w:rsidRDefault="00CE7A4B" w:rsidP="004E0095">
            <w:pPr>
              <w:pStyle w:val="Body"/>
              <w:tabs>
                <w:tab w:val="left" w:pos="567"/>
              </w:tabs>
              <w:spacing w:before="60" w:after="60"/>
              <w:contextualSpacing/>
              <w:jc w:val="both"/>
              <w:rPr>
                <w:rFonts w:ascii="Times New Roman" w:hAnsi="Times New Roman"/>
                <w:sz w:val="20"/>
                <w:szCs w:val="20"/>
              </w:rPr>
            </w:pPr>
            <w:r w:rsidRPr="00CE7A4B">
              <w:rPr>
                <w:rFonts w:ascii="Times New Roman" w:hAnsi="Times New Roman"/>
                <w:sz w:val="20"/>
                <w:szCs w:val="20"/>
              </w:rPr>
              <w:t>Students will develop the ability to critically analyze the development trends of the service economy and assess the importance of the service sector for economic and social development, as well as to consider the advantages and limitations of different models of service sector development, assess the effects of digital transformation, innovation and globalization on service industries, and identify possible measures to improve the competitiveness and sustainability of the service economy</w:t>
            </w:r>
            <w:r w:rsidR="00176BF6" w:rsidRPr="00176BF6">
              <w:rPr>
                <w:rFonts w:ascii="Times New Roman" w:hAnsi="Times New Roman"/>
                <w:sz w:val="20"/>
                <w:szCs w:val="20"/>
              </w:rPr>
              <w:t>.</w:t>
            </w:r>
          </w:p>
          <w:p w14:paraId="021936B0" w14:textId="36D9DCC3" w:rsidR="00176BF6" w:rsidRPr="00176BF6" w:rsidRDefault="00A228F2" w:rsidP="004E0095">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4. Communication skills</w:t>
            </w:r>
          </w:p>
          <w:p w14:paraId="7E92B8FB" w14:textId="75D50906" w:rsidR="00176BF6" w:rsidRDefault="00CE7A4B" w:rsidP="004E0095">
            <w:pPr>
              <w:pStyle w:val="Body"/>
              <w:tabs>
                <w:tab w:val="left" w:pos="567"/>
              </w:tabs>
              <w:spacing w:before="60" w:after="60"/>
              <w:contextualSpacing/>
              <w:jc w:val="both"/>
              <w:rPr>
                <w:rFonts w:ascii="Times New Roman" w:hAnsi="Times New Roman"/>
                <w:sz w:val="20"/>
                <w:szCs w:val="20"/>
              </w:rPr>
            </w:pPr>
            <w:r w:rsidRPr="00CE7A4B">
              <w:rPr>
                <w:rFonts w:ascii="Times New Roman" w:hAnsi="Times New Roman"/>
                <w:sz w:val="20"/>
                <w:szCs w:val="20"/>
              </w:rPr>
              <w:t>Students will develop the ability to clearly, reasonably and critically present the results of analyses and positions in the field of service economy, as well as the skills to participate in professional and academic discussions on the development of the service sector, digital transformation, innovations and contemporary economic trends</w:t>
            </w:r>
            <w:r w:rsidR="00176BF6">
              <w:rPr>
                <w:rFonts w:ascii="Times New Roman" w:hAnsi="Times New Roman"/>
                <w:sz w:val="20"/>
                <w:szCs w:val="20"/>
              </w:rPr>
              <w:t>.</w:t>
            </w:r>
          </w:p>
          <w:p w14:paraId="270AD4E1" w14:textId="40946906" w:rsidR="00176BF6" w:rsidRPr="00176BF6" w:rsidRDefault="00A228F2" w:rsidP="004E0095">
            <w:pPr>
              <w:pStyle w:val="Body"/>
              <w:tabs>
                <w:tab w:val="left" w:pos="567"/>
              </w:tabs>
              <w:spacing w:before="60" w:after="60"/>
              <w:contextualSpacing/>
              <w:jc w:val="both"/>
              <w:rPr>
                <w:rFonts w:ascii="Times New Roman" w:hAnsi="Times New Roman"/>
                <w:b/>
                <w:bCs/>
                <w:sz w:val="20"/>
                <w:szCs w:val="20"/>
              </w:rPr>
            </w:pPr>
            <w:r>
              <w:rPr>
                <w:rFonts w:ascii="Times New Roman" w:hAnsi="Times New Roman"/>
                <w:b/>
                <w:bCs/>
                <w:sz w:val="20"/>
                <w:szCs w:val="20"/>
              </w:rPr>
              <w:t>O</w:t>
            </w:r>
            <w:r w:rsidR="00176BF6" w:rsidRPr="00176BF6">
              <w:rPr>
                <w:rFonts w:ascii="Times New Roman" w:hAnsi="Times New Roman"/>
                <w:b/>
                <w:bCs/>
                <w:sz w:val="20"/>
                <w:szCs w:val="20"/>
              </w:rPr>
              <w:t>5. Learning skills</w:t>
            </w:r>
          </w:p>
          <w:p w14:paraId="7D4542C3" w14:textId="1DC72212" w:rsidR="00757089" w:rsidRPr="00757089" w:rsidRDefault="00CE7A4B" w:rsidP="004E0095">
            <w:pPr>
              <w:pStyle w:val="Body"/>
              <w:tabs>
                <w:tab w:val="left" w:pos="567"/>
              </w:tabs>
              <w:spacing w:before="60" w:after="60"/>
              <w:contextualSpacing/>
              <w:jc w:val="both"/>
              <w:rPr>
                <w:rFonts w:ascii="Times New Roman" w:hAnsi="Times New Roman"/>
                <w:sz w:val="20"/>
                <w:szCs w:val="20"/>
              </w:rPr>
            </w:pPr>
            <w:r w:rsidRPr="00CE7A4B">
              <w:rPr>
                <w:rFonts w:ascii="Times New Roman" w:hAnsi="Times New Roman"/>
                <w:sz w:val="20"/>
                <w:szCs w:val="20"/>
              </w:rPr>
              <w:t>Students will develop analytical, research and methodological skills for independent study of problems and development trends of the service economy, as well as for monitoring contemporary changes in the field of digitalization, innovation, international trade in services and sustainable development of the service sector. They will also be able to independently analyze and compare different models, policies and institutional frameworks for the development of the service economy</w:t>
            </w:r>
            <w:r w:rsidR="00176BF6">
              <w:rPr>
                <w:rFonts w:ascii="Times New Roman" w:hAnsi="Times New Roman"/>
                <w:sz w:val="20"/>
                <w:szCs w:val="20"/>
              </w:rPr>
              <w:t>.</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4E0095">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4E0095">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0299D232" w14:textId="7DEDA111"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Introduction to the economy of the service sector</w:t>
            </w:r>
          </w:p>
          <w:p w14:paraId="62216D67" w14:textId="33D772D8"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Evolution of the sectoral structure of the economy and the process of tertiarization</w:t>
            </w:r>
          </w:p>
          <w:p w14:paraId="376EECD3" w14:textId="6B5D865B"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Characteristics and classification of service activities</w:t>
            </w:r>
          </w:p>
          <w:p w14:paraId="3580346B" w14:textId="7DF8529B"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Productivity and competitiveness of the service sector</w:t>
            </w:r>
          </w:p>
          <w:p w14:paraId="1267B794" w14:textId="3A8606C2"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Service sector and economic growth</w:t>
            </w:r>
          </w:p>
          <w:p w14:paraId="2FFA5FEA" w14:textId="42BE2375"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Service sector and labor market</w:t>
            </w:r>
          </w:p>
          <w:p w14:paraId="333E61DC" w14:textId="13631753"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 xml:space="preserve">International service economy </w:t>
            </w:r>
          </w:p>
          <w:p w14:paraId="7B3D0431" w14:textId="5B827A22"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Regional and urban aspects of service sector development</w:t>
            </w:r>
          </w:p>
          <w:p w14:paraId="6ED6D2BE" w14:textId="37943FEC"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lastRenderedPageBreak/>
              <w:t>Digital transformation of the service sector</w:t>
            </w:r>
          </w:p>
          <w:p w14:paraId="425FC879" w14:textId="4D6504D8"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 xml:space="preserve">Innovations in the service economy </w:t>
            </w:r>
          </w:p>
          <w:p w14:paraId="6F9A90C3" w14:textId="3777B094"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Financial and information and communication services</w:t>
            </w:r>
          </w:p>
          <w:p w14:paraId="17B07BA2" w14:textId="05BDFD01"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Institutional aspects of service sector development</w:t>
            </w:r>
          </w:p>
          <w:p w14:paraId="6883B3D1" w14:textId="649FBDAB"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Sustainable development and transformation of the service sector</w:t>
            </w:r>
          </w:p>
          <w:p w14:paraId="1F963B16" w14:textId="5F3C2CB3" w:rsidR="00596027" w:rsidRPr="00590613" w:rsidRDefault="00596027" w:rsidP="00590613">
            <w:pPr>
              <w:pStyle w:val="ListParagraph"/>
              <w:numPr>
                <w:ilvl w:val="0"/>
                <w:numId w:val="14"/>
              </w:numPr>
              <w:tabs>
                <w:tab w:val="left" w:pos="567"/>
              </w:tabs>
              <w:spacing w:before="60" w:after="60"/>
              <w:ind w:left="365" w:hanging="357"/>
              <w:rPr>
                <w:rFonts w:ascii="Times New Roman" w:hAnsi="Times New Roman" w:cs="Times New Roman"/>
                <w:bCs/>
                <w:sz w:val="20"/>
                <w:szCs w:val="20"/>
              </w:rPr>
            </w:pPr>
            <w:r w:rsidRPr="00590613">
              <w:rPr>
                <w:rFonts w:ascii="Times New Roman" w:hAnsi="Times New Roman" w:cs="Times New Roman"/>
                <w:bCs/>
                <w:sz w:val="20"/>
                <w:szCs w:val="20"/>
              </w:rPr>
              <w:t>Service sector of the European Union</w:t>
            </w:r>
          </w:p>
          <w:p w14:paraId="6BEFD33A" w14:textId="228BB83B" w:rsidR="00757089" w:rsidRPr="00596027" w:rsidRDefault="00596027" w:rsidP="00590613">
            <w:pPr>
              <w:pStyle w:val="ListParagraph"/>
              <w:numPr>
                <w:ilvl w:val="0"/>
                <w:numId w:val="14"/>
              </w:numPr>
              <w:tabs>
                <w:tab w:val="left" w:pos="567"/>
              </w:tabs>
              <w:spacing w:before="60" w:after="60"/>
              <w:ind w:left="365" w:hanging="357"/>
              <w:rPr>
                <w:rFonts w:ascii="Times New Roman" w:hAnsi="Times New Roman" w:cs="Times New Roman"/>
                <w:bCs/>
                <w:i/>
                <w:sz w:val="20"/>
                <w:szCs w:val="20"/>
              </w:rPr>
            </w:pPr>
            <w:r w:rsidRPr="00590613">
              <w:rPr>
                <w:rFonts w:ascii="Times New Roman" w:hAnsi="Times New Roman" w:cs="Times New Roman"/>
                <w:bCs/>
                <w:sz w:val="20"/>
                <w:szCs w:val="20"/>
              </w:rPr>
              <w:t>Development of the service sector of the Republic of Serbia</w:t>
            </w:r>
          </w:p>
          <w:p w14:paraId="059D6091" w14:textId="204910E0" w:rsidR="00774592" w:rsidRDefault="001248E0" w:rsidP="004E0095">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111F3511" w:rsidR="00757089" w:rsidRPr="00590613" w:rsidRDefault="00596027" w:rsidP="004E0095">
            <w:pPr>
              <w:tabs>
                <w:tab w:val="left" w:pos="567"/>
              </w:tabs>
              <w:spacing w:before="60" w:after="60"/>
              <w:jc w:val="both"/>
              <w:rPr>
                <w:iCs/>
                <w:sz w:val="20"/>
                <w:szCs w:val="20"/>
              </w:rPr>
            </w:pPr>
            <w:r w:rsidRPr="00590613">
              <w:rPr>
                <w:iCs/>
                <w:sz w:val="20"/>
                <w:szCs w:val="20"/>
              </w:rPr>
              <w:t>Practical teaching in course Economics of the service sector is focused on the analysis of modern trends in the development of the service economy and the application of theoretical knowledge to concrete economic processes and problems. Through the analysis of statistical indicators, case studies, group discussions and presentations, students will study the role of the service sector in economic growth, employment, competitiveness and structural transformation of modern economies. Special attention will be devoted to the processes of globalization, digitization and innovation in the service sector, as well as to the analysis of modern forms of business, international trade in services and the development of knowledge-intensive services. Practical teaching includes analysis of the development of the service sector in the European Union and the Republic of Serbia, along with the preparation and presentation of research papers. Through practical work, students develop analytical, research and communication skills, as well as the ability to critically perceive modern development processes in the service economy</w:t>
            </w:r>
            <w:r w:rsidR="00176BF6" w:rsidRPr="00590613">
              <w:rPr>
                <w:iCs/>
                <w:sz w:val="20"/>
                <w:szCs w:val="20"/>
              </w:rPr>
              <w:t>.</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0E3F41">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lastRenderedPageBreak/>
              <w:t>Literature</w:t>
            </w:r>
          </w:p>
          <w:p w14:paraId="3817A133" w14:textId="3FB8C7CB" w:rsidR="00176BF6" w:rsidRPr="00176BF6" w:rsidRDefault="00176BF6" w:rsidP="000E3F41">
            <w:pPr>
              <w:pStyle w:val="ListParagraph"/>
              <w:spacing w:before="60" w:after="60"/>
              <w:ind w:left="0"/>
              <w:contextualSpacing/>
              <w:jc w:val="both"/>
              <w:rPr>
                <w:rFonts w:ascii="Times New Roman" w:hAnsi="Times New Roman" w:cs="Times New Roman"/>
                <w:color w:val="auto"/>
                <w:sz w:val="20"/>
                <w:szCs w:val="20"/>
              </w:rPr>
            </w:pPr>
            <w:r w:rsidRPr="00176BF6">
              <w:rPr>
                <w:rFonts w:ascii="Times New Roman" w:hAnsi="Times New Roman" w:cs="Times New Roman"/>
                <w:b/>
                <w:bCs/>
                <w:color w:val="auto"/>
                <w:sz w:val="20"/>
                <w:szCs w:val="20"/>
              </w:rPr>
              <w:t>Required:</w:t>
            </w:r>
            <w:r w:rsidR="00596027" w:rsidRPr="00CC407E">
              <w:rPr>
                <w:rFonts w:ascii="Times New Roman" w:hAnsi="Times New Roman" w:cs="Times New Roman"/>
                <w:bCs/>
                <w:sz w:val="20"/>
                <w:szCs w:val="20"/>
                <w:lang w:val="sr-Cyrl-CS"/>
              </w:rPr>
              <w:t xml:space="preserve"> Nayyar, G., Hallward-Driemeier, M.</w:t>
            </w:r>
            <w:r w:rsidR="00596027" w:rsidRPr="00CC407E">
              <w:rPr>
                <w:rFonts w:ascii="Times New Roman" w:hAnsi="Times New Roman" w:cs="Times New Roman"/>
                <w:bCs/>
                <w:sz w:val="20"/>
                <w:szCs w:val="20"/>
                <w:lang w:val="sr-Latn-RS"/>
              </w:rPr>
              <w:t xml:space="preserve"> &amp;</w:t>
            </w:r>
            <w:r w:rsidR="00596027" w:rsidRPr="00CC407E">
              <w:rPr>
                <w:rFonts w:ascii="Times New Roman" w:hAnsi="Times New Roman" w:cs="Times New Roman"/>
                <w:bCs/>
                <w:sz w:val="20"/>
                <w:szCs w:val="20"/>
                <w:lang w:val="sr-Cyrl-CS"/>
              </w:rPr>
              <w:t xml:space="preserve"> Davies, E. (2021)</w:t>
            </w:r>
            <w:r w:rsidR="00596027" w:rsidRPr="00CC407E">
              <w:rPr>
                <w:rFonts w:ascii="Times New Roman" w:hAnsi="Times New Roman" w:cs="Times New Roman"/>
                <w:bCs/>
                <w:sz w:val="20"/>
                <w:szCs w:val="20"/>
                <w:lang w:val="sr-Latn-RS"/>
              </w:rPr>
              <w:t>.</w:t>
            </w:r>
            <w:r w:rsidR="00596027" w:rsidRPr="00CC407E">
              <w:rPr>
                <w:rFonts w:ascii="Times New Roman" w:hAnsi="Times New Roman" w:cs="Times New Roman"/>
                <w:bCs/>
                <w:sz w:val="20"/>
                <w:szCs w:val="20"/>
                <w:lang w:val="sr-Cyrl-CS"/>
              </w:rPr>
              <w:t xml:space="preserve"> </w:t>
            </w:r>
            <w:r w:rsidR="00596027" w:rsidRPr="00CC407E">
              <w:rPr>
                <w:rFonts w:ascii="Times New Roman" w:hAnsi="Times New Roman" w:cs="Times New Roman"/>
                <w:bCs/>
                <w:i/>
                <w:iCs/>
                <w:sz w:val="20"/>
                <w:szCs w:val="20"/>
                <w:lang w:val="sr-Cyrl-CS"/>
              </w:rPr>
              <w:t>At your service? The promise of services-led development</w:t>
            </w:r>
            <w:r w:rsidR="00596027" w:rsidRPr="00CC407E">
              <w:rPr>
                <w:rFonts w:ascii="Times New Roman" w:hAnsi="Times New Roman" w:cs="Times New Roman"/>
                <w:bCs/>
                <w:sz w:val="20"/>
                <w:szCs w:val="20"/>
                <w:lang w:val="sr-Latn-RS"/>
              </w:rPr>
              <w:t>.</w:t>
            </w:r>
            <w:r w:rsidR="00596027" w:rsidRPr="00CC407E">
              <w:rPr>
                <w:rFonts w:ascii="Times New Roman" w:hAnsi="Times New Roman" w:cs="Times New Roman"/>
                <w:bCs/>
                <w:sz w:val="20"/>
                <w:szCs w:val="20"/>
                <w:lang w:val="sr-Cyrl-CS"/>
              </w:rPr>
              <w:t xml:space="preserve"> </w:t>
            </w:r>
            <w:r w:rsidR="00596027" w:rsidRPr="00CC407E">
              <w:rPr>
                <w:rFonts w:ascii="Times New Roman" w:hAnsi="Times New Roman" w:cs="Times New Roman"/>
                <w:sz w:val="20"/>
                <w:szCs w:val="20"/>
              </w:rPr>
              <w:t>Washington, DC: World Bank</w:t>
            </w:r>
            <w:r w:rsidRPr="00176BF6">
              <w:rPr>
                <w:rFonts w:ascii="Times New Roman" w:hAnsi="Times New Roman" w:cs="Times New Roman"/>
                <w:color w:val="auto"/>
                <w:sz w:val="20"/>
                <w:szCs w:val="20"/>
              </w:rPr>
              <w:t>.</w:t>
            </w:r>
          </w:p>
          <w:p w14:paraId="7D8FE6E8" w14:textId="33CFE4E1" w:rsidR="00176BF6" w:rsidRPr="00596027" w:rsidRDefault="00176BF6" w:rsidP="000E3F41">
            <w:pPr>
              <w:pStyle w:val="ListParagraph"/>
              <w:spacing w:before="60" w:after="60"/>
              <w:ind w:left="0"/>
              <w:contextualSpacing/>
              <w:jc w:val="both"/>
              <w:rPr>
                <w:rFonts w:ascii="Times New Roman" w:hAnsi="Times New Roman" w:cs="Times New Roman"/>
                <w:color w:val="auto"/>
                <w:sz w:val="20"/>
                <w:szCs w:val="20"/>
                <w:lang w:val="fr-FR"/>
              </w:rPr>
            </w:pPr>
            <w:r w:rsidRPr="00176BF6">
              <w:rPr>
                <w:rFonts w:ascii="Times New Roman" w:hAnsi="Times New Roman" w:cs="Times New Roman"/>
                <w:b/>
                <w:bCs/>
                <w:color w:val="auto"/>
                <w:sz w:val="20"/>
                <w:szCs w:val="20"/>
              </w:rPr>
              <w:t>Optional:</w:t>
            </w:r>
            <w:r w:rsidR="00596027" w:rsidRPr="00E45182">
              <w:rPr>
                <w:rFonts w:ascii="Times New Roman" w:hAnsi="Times New Roman"/>
                <w:bCs/>
                <w:sz w:val="20"/>
                <w:szCs w:val="20"/>
                <w:lang w:val="sr-Cyrl-CS"/>
              </w:rPr>
              <w:t xml:space="preserve"> OECD. (2000). </w:t>
            </w:r>
            <w:r w:rsidR="00596027" w:rsidRPr="00E45182">
              <w:rPr>
                <w:rFonts w:ascii="Times New Roman" w:hAnsi="Times New Roman"/>
                <w:bCs/>
                <w:i/>
                <w:iCs/>
                <w:sz w:val="20"/>
                <w:szCs w:val="20"/>
                <w:lang w:val="sr-Cyrl-CS"/>
              </w:rPr>
              <w:t>The Service Economy</w:t>
            </w:r>
            <w:r w:rsidR="00596027" w:rsidRPr="00E45182">
              <w:rPr>
                <w:rFonts w:ascii="Times New Roman" w:hAnsi="Times New Roman"/>
                <w:bCs/>
                <w:sz w:val="20"/>
                <w:szCs w:val="20"/>
                <w:lang w:val="sr-Cyrl-CS"/>
              </w:rPr>
              <w:t>. Paris: OECD Publishing</w:t>
            </w:r>
            <w:r w:rsidRPr="00596027">
              <w:rPr>
                <w:rFonts w:ascii="Times New Roman" w:hAnsi="Times New Roman" w:cs="Times New Roman"/>
                <w:color w:val="auto"/>
                <w:sz w:val="20"/>
                <w:szCs w:val="20"/>
                <w:lang w:val="fr-FR"/>
              </w:rPr>
              <w:t>.</w:t>
            </w:r>
          </w:p>
          <w:p w14:paraId="5D45C2BE" w14:textId="1CCA3A9C" w:rsidR="00757089" w:rsidRPr="00757089" w:rsidRDefault="00596027" w:rsidP="000E3F41">
            <w:pPr>
              <w:pStyle w:val="ListParagraph"/>
              <w:spacing w:before="60" w:after="60"/>
              <w:ind w:left="0"/>
              <w:contextualSpacing/>
              <w:jc w:val="both"/>
              <w:rPr>
                <w:rFonts w:ascii="Times New Roman" w:hAnsi="Times New Roman" w:cs="Times New Roman"/>
                <w:color w:val="auto"/>
                <w:sz w:val="20"/>
                <w:szCs w:val="20"/>
              </w:rPr>
            </w:pPr>
            <w:r w:rsidRPr="00596027">
              <w:rPr>
                <w:rFonts w:ascii="Times New Roman" w:hAnsi="Times New Roman" w:cs="Times New Roman"/>
                <w:color w:val="auto"/>
                <w:sz w:val="20"/>
                <w:szCs w:val="20"/>
                <w:lang w:val="fr-FR"/>
              </w:rPr>
              <w:t xml:space="preserve">Ventura-Dias, V. (2011). </w:t>
            </w:r>
            <w:r w:rsidRPr="00F7529A">
              <w:rPr>
                <w:rFonts w:ascii="Times New Roman" w:hAnsi="Times New Roman" w:cs="Times New Roman"/>
                <w:i/>
                <w:iCs/>
                <w:color w:val="auto"/>
                <w:sz w:val="20"/>
                <w:szCs w:val="20"/>
              </w:rPr>
              <w:t>A service-based economy: Where do we stand? Notes on structural change and economic development</w:t>
            </w:r>
            <w:r w:rsidRPr="00596027">
              <w:rPr>
                <w:rFonts w:ascii="Times New Roman" w:hAnsi="Times New Roman" w:cs="Times New Roman"/>
                <w:color w:val="auto"/>
                <w:sz w:val="20"/>
                <w:szCs w:val="20"/>
              </w:rPr>
              <w:t xml:space="preserve"> (Working Paper No. 139). Latin American Trade Network (LATN)</w:t>
            </w:r>
            <w:r w:rsidR="00176BF6" w:rsidRPr="00176BF6">
              <w:rPr>
                <w:rFonts w:ascii="Times New Roman" w:hAnsi="Times New Roman" w:cs="Times New Roman"/>
                <w:color w:val="auto"/>
                <w:sz w:val="20"/>
                <w:szCs w:val="20"/>
              </w:rPr>
              <w:t>.</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6743855A" w:rsidR="00641FAC" w:rsidRPr="005F3A1E" w:rsidRDefault="00674A82"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676634">
              <w:rPr>
                <w:rFonts w:ascii="Times New Roman" w:hAnsi="Times New Roman" w:cs="Times New Roman" w:hint="eastAsia"/>
                <w:b/>
                <w:bCs/>
                <w:sz w:val="20"/>
                <w:szCs w:val="20"/>
                <w:lang w:eastAsia="ja-JP"/>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19B34CAC" w:rsidR="00641FAC" w:rsidRPr="005F3A1E" w:rsidRDefault="001248E0"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676634">
              <w:rPr>
                <w:rFonts w:ascii="Times New Roman" w:hAnsi="Times New Roman" w:cs="Times New Roman" w:hint="eastAsia"/>
                <w:sz w:val="20"/>
                <w:szCs w:val="20"/>
                <w:lang w:eastAsia="ja-JP"/>
              </w:rPr>
              <w:t>2</w:t>
            </w:r>
          </w:p>
        </w:tc>
      </w:tr>
      <w:tr w:rsidR="00641FAC" w:rsidRPr="005F3A1E" w14:paraId="03C08A1D" w14:textId="77777777" w:rsidTr="00590613">
        <w:trPr>
          <w:trHeight w:val="6659"/>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84C2448" w14:textId="6ACF6A7D" w:rsidR="00A228F2" w:rsidRPr="00A228F2" w:rsidRDefault="00A228F2" w:rsidP="000E3F41">
            <w:pPr>
              <w:pStyle w:val="Body"/>
              <w:tabs>
                <w:tab w:val="left" w:pos="567"/>
              </w:tabs>
              <w:spacing w:before="60" w:after="60"/>
              <w:jc w:val="both"/>
              <w:rPr>
                <w:rFonts w:ascii="Times New Roman" w:hAnsi="Times New Roman" w:cs="Times New Roman"/>
                <w:bCs/>
                <w:color w:val="auto"/>
                <w:sz w:val="20"/>
                <w:szCs w:val="20"/>
              </w:rPr>
            </w:pPr>
            <w:r w:rsidRPr="00A228F2">
              <w:rPr>
                <w:rFonts w:ascii="Times New Roman" w:hAnsi="Times New Roman" w:cs="Times New Roman"/>
                <w:bCs/>
                <w:color w:val="auto"/>
                <w:sz w:val="20"/>
                <w:szCs w:val="20"/>
              </w:rPr>
              <w:t>Teaching in the subject is implemented using several complementary methods in order to achieve the defined outcomes of the subject (</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1-</w:t>
            </w:r>
            <w:r w:rsidR="000E3F41">
              <w:rPr>
                <w:rFonts w:ascii="Times New Roman" w:hAnsi="Times New Roman" w:cs="Times New Roman"/>
                <w:bCs/>
                <w:color w:val="auto"/>
                <w:sz w:val="20"/>
                <w:szCs w:val="20"/>
              </w:rPr>
              <w:t>O</w:t>
            </w:r>
            <w:r w:rsidRPr="00A228F2">
              <w:rPr>
                <w:rFonts w:ascii="Times New Roman" w:hAnsi="Times New Roman" w:cs="Times New Roman"/>
                <w:bCs/>
                <w:color w:val="auto"/>
                <w:sz w:val="20"/>
                <w:szCs w:val="20"/>
              </w:rPr>
              <w:t>5).</w:t>
            </w:r>
          </w:p>
          <w:p w14:paraId="7C6842ED" w14:textId="71ED20C1" w:rsidR="00596027" w:rsidRPr="00596027" w:rsidRDefault="00596027" w:rsidP="00596027">
            <w:pPr>
              <w:pStyle w:val="Body"/>
              <w:tabs>
                <w:tab w:val="left" w:pos="567"/>
              </w:tabs>
              <w:spacing w:before="60" w:after="60"/>
              <w:jc w:val="both"/>
              <w:rPr>
                <w:rFonts w:ascii="Times New Roman" w:hAnsi="Times New Roman" w:cs="Times New Roman"/>
                <w:b/>
                <w:i/>
                <w:iCs/>
                <w:color w:val="auto"/>
                <w:sz w:val="20"/>
                <w:szCs w:val="20"/>
              </w:rPr>
            </w:pPr>
            <w:r w:rsidRPr="00596027">
              <w:rPr>
                <w:rFonts w:ascii="Times New Roman" w:hAnsi="Times New Roman" w:cs="Times New Roman"/>
                <w:b/>
                <w:i/>
                <w:iCs/>
                <w:color w:val="auto"/>
                <w:sz w:val="20"/>
                <w:szCs w:val="20"/>
              </w:rPr>
              <w:t xml:space="preserve">The monologic method (M1) </w:t>
            </w:r>
            <w:r w:rsidRPr="00596027">
              <w:rPr>
                <w:rFonts w:ascii="Times New Roman" w:hAnsi="Times New Roman" w:cs="Times New Roman"/>
                <w:bCs/>
                <w:color w:val="auto"/>
                <w:sz w:val="20"/>
                <w:szCs w:val="20"/>
              </w:rPr>
              <w:t xml:space="preserve">is applied through lectures and is aimed at acquiring theoretical knowledge about the service economy, the developmental role of the service sector, technological and institutional aspects of the development of the service sector, as well as the specifics of the service sector of the European Union and the Republic of Serbia, contributing to the achievement of outcome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1.</w:t>
            </w:r>
          </w:p>
          <w:p w14:paraId="46DC71DD" w14:textId="7A70F559" w:rsidR="00596027" w:rsidRPr="00596027" w:rsidRDefault="00596027" w:rsidP="00596027">
            <w:pPr>
              <w:pStyle w:val="Body"/>
              <w:tabs>
                <w:tab w:val="left" w:pos="567"/>
              </w:tabs>
              <w:spacing w:before="60" w:after="60"/>
              <w:jc w:val="both"/>
              <w:rPr>
                <w:rFonts w:ascii="Times New Roman" w:hAnsi="Times New Roman" w:cs="Times New Roman"/>
                <w:bCs/>
                <w:color w:val="auto"/>
                <w:sz w:val="20"/>
                <w:szCs w:val="20"/>
              </w:rPr>
            </w:pPr>
            <w:r w:rsidRPr="00596027">
              <w:rPr>
                <w:rFonts w:ascii="Times New Roman" w:hAnsi="Times New Roman" w:cs="Times New Roman"/>
                <w:b/>
                <w:i/>
                <w:iCs/>
                <w:color w:val="auto"/>
                <w:sz w:val="20"/>
                <w:szCs w:val="20"/>
              </w:rPr>
              <w:t xml:space="preserve">The dialogue method (M2) </w:t>
            </w:r>
            <w:r w:rsidRPr="00596027">
              <w:rPr>
                <w:rFonts w:ascii="Times New Roman" w:hAnsi="Times New Roman" w:cs="Times New Roman"/>
                <w:bCs/>
                <w:color w:val="auto"/>
                <w:sz w:val="20"/>
                <w:szCs w:val="20"/>
              </w:rPr>
              <w:t xml:space="preserve">is implemented through discussions and interactive work with students, which encourages critical thinking, argumentative expression of views and analysis of modern trends in the development of the service economy, which contributes to the achievement of outcomes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 xml:space="preserve">3 and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4.</w:t>
            </w:r>
          </w:p>
          <w:p w14:paraId="1208F731" w14:textId="61612C47" w:rsidR="00596027" w:rsidRPr="00596027" w:rsidRDefault="00596027" w:rsidP="00596027">
            <w:pPr>
              <w:pStyle w:val="Body"/>
              <w:tabs>
                <w:tab w:val="left" w:pos="567"/>
              </w:tabs>
              <w:spacing w:before="60" w:after="60"/>
              <w:jc w:val="both"/>
              <w:rPr>
                <w:rFonts w:ascii="Times New Roman" w:hAnsi="Times New Roman" w:cs="Times New Roman"/>
                <w:bCs/>
                <w:color w:val="auto"/>
                <w:sz w:val="20"/>
                <w:szCs w:val="20"/>
              </w:rPr>
            </w:pPr>
            <w:r w:rsidRPr="00596027">
              <w:rPr>
                <w:rFonts w:ascii="Times New Roman" w:hAnsi="Times New Roman" w:cs="Times New Roman"/>
                <w:b/>
                <w:i/>
                <w:iCs/>
                <w:color w:val="auto"/>
                <w:sz w:val="20"/>
                <w:szCs w:val="20"/>
              </w:rPr>
              <w:t xml:space="preserve">The demonstration method (M3) </w:t>
            </w:r>
            <w:r w:rsidRPr="00596027">
              <w:rPr>
                <w:rFonts w:ascii="Times New Roman" w:hAnsi="Times New Roman" w:cs="Times New Roman"/>
                <w:bCs/>
                <w:color w:val="auto"/>
                <w:sz w:val="20"/>
                <w:szCs w:val="20"/>
              </w:rPr>
              <w:t xml:space="preserve">includes the use of presentations, statistical indicators, graphic displays and data analysis in order to connect theoretical knowledge with practical examples of the development of the service sector, thereby contributing to the achievement of outcomes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 xml:space="preserve">1 and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2.</w:t>
            </w:r>
          </w:p>
          <w:p w14:paraId="7CFFC659" w14:textId="6AAAE650" w:rsidR="00596027" w:rsidRPr="00596027" w:rsidRDefault="00596027" w:rsidP="00596027">
            <w:pPr>
              <w:pStyle w:val="Body"/>
              <w:tabs>
                <w:tab w:val="left" w:pos="567"/>
              </w:tabs>
              <w:spacing w:before="60" w:after="60"/>
              <w:jc w:val="both"/>
              <w:rPr>
                <w:rFonts w:ascii="Times New Roman" w:hAnsi="Times New Roman" w:cs="Times New Roman"/>
                <w:b/>
                <w:i/>
                <w:iCs/>
                <w:color w:val="auto"/>
                <w:sz w:val="20"/>
                <w:szCs w:val="20"/>
              </w:rPr>
            </w:pPr>
            <w:r w:rsidRPr="00596027">
              <w:rPr>
                <w:rFonts w:ascii="Times New Roman" w:hAnsi="Times New Roman" w:cs="Times New Roman"/>
                <w:b/>
                <w:i/>
                <w:iCs/>
                <w:color w:val="auto"/>
                <w:sz w:val="20"/>
                <w:szCs w:val="20"/>
              </w:rPr>
              <w:t xml:space="preserve">The research method (M4) </w:t>
            </w:r>
            <w:r w:rsidRPr="00596027">
              <w:rPr>
                <w:rFonts w:ascii="Times New Roman" w:hAnsi="Times New Roman" w:cs="Times New Roman"/>
                <w:bCs/>
                <w:color w:val="auto"/>
                <w:sz w:val="20"/>
                <w:szCs w:val="20"/>
              </w:rPr>
              <w:t xml:space="preserve">is implemented through the creation of independent research tasks, whereby students develop analytical and research skills in the field of service economy, which is a function of outcomes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 xml:space="preserve">2,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 xml:space="preserve">4 and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5.</w:t>
            </w:r>
          </w:p>
          <w:p w14:paraId="0D186AE1" w14:textId="7C4556DA" w:rsidR="00A228F2" w:rsidRPr="00596027" w:rsidRDefault="00596027" w:rsidP="00596027">
            <w:pPr>
              <w:pStyle w:val="Body"/>
              <w:tabs>
                <w:tab w:val="left" w:pos="567"/>
              </w:tabs>
              <w:spacing w:before="60" w:after="60"/>
              <w:jc w:val="both"/>
              <w:rPr>
                <w:rFonts w:ascii="Times New Roman" w:hAnsi="Times New Roman" w:cs="Times New Roman"/>
                <w:bCs/>
                <w:color w:val="auto"/>
                <w:sz w:val="20"/>
                <w:szCs w:val="20"/>
              </w:rPr>
            </w:pPr>
            <w:r w:rsidRPr="00596027">
              <w:rPr>
                <w:rFonts w:ascii="Times New Roman" w:hAnsi="Times New Roman" w:cs="Times New Roman"/>
                <w:b/>
                <w:i/>
                <w:iCs/>
                <w:color w:val="auto"/>
                <w:sz w:val="20"/>
                <w:szCs w:val="20"/>
              </w:rPr>
              <w:t xml:space="preserve">The case study method (M5) </w:t>
            </w:r>
            <w:r w:rsidRPr="00596027">
              <w:rPr>
                <w:rFonts w:ascii="Times New Roman" w:hAnsi="Times New Roman" w:cs="Times New Roman"/>
                <w:bCs/>
                <w:color w:val="auto"/>
                <w:sz w:val="20"/>
                <w:szCs w:val="20"/>
              </w:rPr>
              <w:t xml:space="preserve">is based on the analysis of concrete examples from practice in the field of service sector development, digital transformation, innovation and international trade in services, which enables the connection of theoretical knowledge with real economic processes and achieves outcomes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 xml:space="preserve">2,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 xml:space="preserve">3 and </w:t>
            </w:r>
            <w:r w:rsidR="00CD6E10">
              <w:rPr>
                <w:rFonts w:ascii="Times New Roman" w:hAnsi="Times New Roman" w:cs="Times New Roman"/>
                <w:bCs/>
                <w:color w:val="auto"/>
                <w:sz w:val="20"/>
                <w:szCs w:val="20"/>
              </w:rPr>
              <w:t>O</w:t>
            </w:r>
            <w:r w:rsidRPr="00596027">
              <w:rPr>
                <w:rFonts w:ascii="Times New Roman" w:hAnsi="Times New Roman" w:cs="Times New Roman"/>
                <w:bCs/>
                <w:color w:val="auto"/>
                <w:sz w:val="20"/>
                <w:szCs w:val="20"/>
              </w:rPr>
              <w:t>5</w:t>
            </w:r>
            <w:r w:rsidR="00A228F2" w:rsidRPr="00596027">
              <w:rPr>
                <w:rFonts w:ascii="Times New Roman" w:hAnsi="Times New Roman" w:cs="Times New Roman"/>
                <w:bCs/>
                <w:color w:val="auto"/>
                <w:sz w:val="20"/>
                <w:szCs w:val="20"/>
              </w:rPr>
              <w:t>.</w:t>
            </w:r>
          </w:p>
          <w:p w14:paraId="52C264D5" w14:textId="77777777" w:rsidR="00A228F2" w:rsidRPr="00DD2ED4" w:rsidRDefault="00A228F2" w:rsidP="00A228F2">
            <w:pPr>
              <w:pStyle w:val="Body"/>
              <w:tabs>
                <w:tab w:val="left" w:pos="567"/>
              </w:tabs>
              <w:jc w:val="center"/>
              <w:rPr>
                <w:rFonts w:ascii="Times New Roman" w:hAnsi="Times New Roman" w:cs="Times New Roman"/>
                <w:i/>
                <w:iCs/>
                <w:sz w:val="20"/>
                <w:szCs w:val="20"/>
                <w:lang w:val="sr-Cyrl-RS"/>
              </w:rPr>
            </w:pPr>
            <w:r w:rsidRPr="00DD2ED4">
              <w:rPr>
                <w:rFonts w:ascii="Times New Roman" w:hAnsi="Times New Roman" w:cs="Times New Roman"/>
                <w:i/>
                <w:iCs/>
                <w:sz w:val="20"/>
                <w:szCs w:val="20"/>
                <w:lang w:val="sr-Cyrl-RS"/>
              </w:rPr>
              <w:t>Alignment of Learning Outcomes, Teaching Methods and Assessment Methods</w:t>
            </w:r>
          </w:p>
          <w:tbl>
            <w:tblPr>
              <w:tblStyle w:val="TableGrid"/>
              <w:tblW w:w="0" w:type="auto"/>
              <w:jc w:val="center"/>
              <w:tblLook w:val="04A0" w:firstRow="1" w:lastRow="0" w:firstColumn="1" w:lastColumn="0" w:noHBand="0" w:noVBand="1"/>
            </w:tblPr>
            <w:tblGrid>
              <w:gridCol w:w="4171"/>
              <w:gridCol w:w="1800"/>
              <w:gridCol w:w="2949"/>
            </w:tblGrid>
            <w:tr w:rsidR="00A228F2" w:rsidRPr="00A228F2" w14:paraId="63FB8D36" w14:textId="77777777" w:rsidTr="00A228F2">
              <w:trPr>
                <w:jc w:val="center"/>
              </w:trPr>
              <w:tc>
                <w:tcPr>
                  <w:tcW w:w="0" w:type="auto"/>
                  <w:hideMark/>
                </w:tcPr>
                <w:p w14:paraId="6B491EDF" w14:textId="77777777" w:rsidR="00A228F2" w:rsidRPr="00C62080" w:rsidRDefault="00A228F2" w:rsidP="008F5F56">
                  <w:pPr>
                    <w:spacing w:before="40" w:after="20"/>
                    <w:jc w:val="center"/>
                    <w:rPr>
                      <w:rFonts w:ascii="Times New Roman" w:eastAsia="Times New Roman" w:hAnsi="Times New Roman" w:cs="Times New Roman"/>
                      <w:b/>
                      <w:bCs/>
                      <w:sz w:val="20"/>
                      <w:szCs w:val="20"/>
                    </w:rPr>
                  </w:pPr>
                  <w:r w:rsidRPr="00C62080">
                    <w:rPr>
                      <w:rFonts w:ascii="Times New Roman" w:eastAsia="Times New Roman" w:hAnsi="Times New Roman" w:cs="Times New Roman"/>
                      <w:b/>
                      <w:bCs/>
                      <w:sz w:val="20"/>
                      <w:szCs w:val="20"/>
                    </w:rPr>
                    <w:t>Learning Outcome</w:t>
                  </w:r>
                </w:p>
              </w:tc>
              <w:tc>
                <w:tcPr>
                  <w:tcW w:w="0" w:type="auto"/>
                  <w:hideMark/>
                </w:tcPr>
                <w:p w14:paraId="6F3242AD" w14:textId="77777777" w:rsidR="00A228F2" w:rsidRPr="00C62080" w:rsidRDefault="00A228F2" w:rsidP="008F5F56">
                  <w:pPr>
                    <w:spacing w:before="40" w:after="20"/>
                    <w:jc w:val="center"/>
                    <w:rPr>
                      <w:rFonts w:ascii="Times New Roman" w:eastAsia="Times New Roman" w:hAnsi="Times New Roman" w:cs="Times New Roman"/>
                      <w:b/>
                      <w:bCs/>
                      <w:sz w:val="20"/>
                      <w:szCs w:val="20"/>
                    </w:rPr>
                  </w:pPr>
                  <w:r w:rsidRPr="00C62080">
                    <w:rPr>
                      <w:rFonts w:ascii="Times New Roman" w:eastAsia="Times New Roman" w:hAnsi="Times New Roman" w:cs="Times New Roman"/>
                      <w:b/>
                      <w:bCs/>
                      <w:sz w:val="20"/>
                      <w:szCs w:val="20"/>
                    </w:rPr>
                    <w:t>Teaching Methods</w:t>
                  </w:r>
                </w:p>
              </w:tc>
              <w:tc>
                <w:tcPr>
                  <w:tcW w:w="0" w:type="auto"/>
                  <w:hideMark/>
                </w:tcPr>
                <w:p w14:paraId="7634D5D0" w14:textId="77777777" w:rsidR="00A228F2" w:rsidRPr="00C62080" w:rsidRDefault="00A228F2" w:rsidP="008F5F56">
                  <w:pPr>
                    <w:spacing w:before="40" w:after="20"/>
                    <w:jc w:val="center"/>
                    <w:rPr>
                      <w:rFonts w:ascii="Times New Roman" w:eastAsia="Times New Roman" w:hAnsi="Times New Roman" w:cs="Times New Roman"/>
                      <w:b/>
                      <w:bCs/>
                      <w:sz w:val="20"/>
                      <w:szCs w:val="20"/>
                    </w:rPr>
                  </w:pPr>
                  <w:r w:rsidRPr="00C62080">
                    <w:rPr>
                      <w:rFonts w:ascii="Times New Roman" w:eastAsia="Times New Roman" w:hAnsi="Times New Roman" w:cs="Times New Roman"/>
                      <w:b/>
                      <w:bCs/>
                      <w:sz w:val="20"/>
                      <w:szCs w:val="20"/>
                    </w:rPr>
                    <w:t>Assessment Methods</w:t>
                  </w:r>
                </w:p>
              </w:tc>
            </w:tr>
            <w:tr w:rsidR="00A228F2" w:rsidRPr="00A228F2" w14:paraId="7BE67334" w14:textId="77777777" w:rsidTr="00A228F2">
              <w:trPr>
                <w:jc w:val="center"/>
              </w:trPr>
              <w:tc>
                <w:tcPr>
                  <w:tcW w:w="0" w:type="auto"/>
                  <w:hideMark/>
                </w:tcPr>
                <w:p w14:paraId="44654C2D" w14:textId="188DF368"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O1. Knowledge and understanding</w:t>
                  </w:r>
                </w:p>
              </w:tc>
              <w:tc>
                <w:tcPr>
                  <w:tcW w:w="0" w:type="auto"/>
                  <w:hideMark/>
                </w:tcPr>
                <w:p w14:paraId="7D2821FA"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M1, M3</w:t>
                  </w:r>
                </w:p>
              </w:tc>
              <w:tc>
                <w:tcPr>
                  <w:tcW w:w="0" w:type="auto"/>
                  <w:hideMark/>
                </w:tcPr>
                <w:p w14:paraId="07AC668A"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Midterm exam, class participation</w:t>
                  </w:r>
                </w:p>
              </w:tc>
            </w:tr>
            <w:tr w:rsidR="00A228F2" w:rsidRPr="00A228F2" w14:paraId="7A92668C" w14:textId="77777777" w:rsidTr="00A228F2">
              <w:trPr>
                <w:jc w:val="center"/>
              </w:trPr>
              <w:tc>
                <w:tcPr>
                  <w:tcW w:w="0" w:type="auto"/>
                  <w:hideMark/>
                </w:tcPr>
                <w:p w14:paraId="52DE7F23" w14:textId="18BFA9A9"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O2. Application of knowledge and understanding</w:t>
                  </w:r>
                </w:p>
              </w:tc>
              <w:tc>
                <w:tcPr>
                  <w:tcW w:w="0" w:type="auto"/>
                  <w:hideMark/>
                </w:tcPr>
                <w:p w14:paraId="3CC03543"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M3, M4, M5</w:t>
                  </w:r>
                </w:p>
              </w:tc>
              <w:tc>
                <w:tcPr>
                  <w:tcW w:w="0" w:type="auto"/>
                  <w:hideMark/>
                </w:tcPr>
                <w:p w14:paraId="34C8131F"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Midterm exam, practical classes</w:t>
                  </w:r>
                </w:p>
              </w:tc>
            </w:tr>
            <w:tr w:rsidR="00A228F2" w:rsidRPr="00A228F2" w14:paraId="00F32C4B" w14:textId="77777777" w:rsidTr="00A228F2">
              <w:trPr>
                <w:jc w:val="center"/>
              </w:trPr>
              <w:tc>
                <w:tcPr>
                  <w:tcW w:w="0" w:type="auto"/>
                  <w:hideMark/>
                </w:tcPr>
                <w:p w14:paraId="5D750457" w14:textId="0BDC79CF"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O3. Judgment and decision-making</w:t>
                  </w:r>
                </w:p>
              </w:tc>
              <w:tc>
                <w:tcPr>
                  <w:tcW w:w="0" w:type="auto"/>
                  <w:hideMark/>
                </w:tcPr>
                <w:p w14:paraId="6D3464A1"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M2, M5</w:t>
                  </w:r>
                </w:p>
              </w:tc>
              <w:tc>
                <w:tcPr>
                  <w:tcW w:w="0" w:type="auto"/>
                  <w:hideMark/>
                </w:tcPr>
                <w:p w14:paraId="0E056B54"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Final exam, class participation</w:t>
                  </w:r>
                </w:p>
              </w:tc>
            </w:tr>
            <w:tr w:rsidR="00A228F2" w:rsidRPr="00A228F2" w14:paraId="50753873" w14:textId="77777777" w:rsidTr="00A228F2">
              <w:trPr>
                <w:jc w:val="center"/>
              </w:trPr>
              <w:tc>
                <w:tcPr>
                  <w:tcW w:w="0" w:type="auto"/>
                  <w:hideMark/>
                </w:tcPr>
                <w:p w14:paraId="0BF6E442" w14:textId="2439C3A2"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O4. Communication skills</w:t>
                  </w:r>
                </w:p>
              </w:tc>
              <w:tc>
                <w:tcPr>
                  <w:tcW w:w="0" w:type="auto"/>
                  <w:hideMark/>
                </w:tcPr>
                <w:p w14:paraId="199F757F"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M2, M4</w:t>
                  </w:r>
                </w:p>
              </w:tc>
              <w:tc>
                <w:tcPr>
                  <w:tcW w:w="0" w:type="auto"/>
                  <w:hideMark/>
                </w:tcPr>
                <w:p w14:paraId="156B4CFD"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Presentations, class participation</w:t>
                  </w:r>
                </w:p>
              </w:tc>
            </w:tr>
            <w:tr w:rsidR="00A228F2" w:rsidRPr="00A228F2" w14:paraId="16014478" w14:textId="77777777" w:rsidTr="00A228F2">
              <w:trPr>
                <w:jc w:val="center"/>
              </w:trPr>
              <w:tc>
                <w:tcPr>
                  <w:tcW w:w="0" w:type="auto"/>
                  <w:hideMark/>
                </w:tcPr>
                <w:p w14:paraId="3C036E41" w14:textId="5712D1A0"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O5. Learning skills</w:t>
                  </w:r>
                </w:p>
              </w:tc>
              <w:tc>
                <w:tcPr>
                  <w:tcW w:w="0" w:type="auto"/>
                  <w:hideMark/>
                </w:tcPr>
                <w:p w14:paraId="6AA986EE"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M4, M5</w:t>
                  </w:r>
                </w:p>
              </w:tc>
              <w:tc>
                <w:tcPr>
                  <w:tcW w:w="0" w:type="auto"/>
                  <w:hideMark/>
                </w:tcPr>
                <w:p w14:paraId="04AA5811" w14:textId="77777777" w:rsidR="00A228F2" w:rsidRPr="00A228F2" w:rsidRDefault="00A228F2" w:rsidP="008F5F56">
                  <w:pPr>
                    <w:spacing w:before="40" w:after="20"/>
                    <w:rPr>
                      <w:rFonts w:ascii="Times New Roman" w:eastAsia="Times New Roman" w:hAnsi="Times New Roman" w:cs="Times New Roman"/>
                      <w:sz w:val="20"/>
                      <w:szCs w:val="20"/>
                    </w:rPr>
                  </w:pPr>
                  <w:r w:rsidRPr="00A228F2">
                    <w:rPr>
                      <w:rFonts w:ascii="Times New Roman" w:eastAsia="Times New Roman" w:hAnsi="Times New Roman" w:cs="Times New Roman"/>
                      <w:sz w:val="20"/>
                      <w:szCs w:val="20"/>
                    </w:rPr>
                    <w:t>Project work, practical classes</w:t>
                  </w:r>
                </w:p>
              </w:tc>
            </w:tr>
          </w:tbl>
          <w:p w14:paraId="0DF8256D" w14:textId="402CA37B" w:rsidR="00757089" w:rsidRPr="00590613" w:rsidRDefault="00757089" w:rsidP="00220D99">
            <w:pPr>
              <w:pStyle w:val="Body"/>
              <w:tabs>
                <w:tab w:val="left" w:pos="567"/>
              </w:tabs>
              <w:spacing w:before="60" w:after="60"/>
              <w:rPr>
                <w:rFonts w:ascii="Times New Roman" w:hAnsi="Times New Roman" w:cs="Times New Roman"/>
                <w:bCs/>
                <w:color w:val="auto"/>
                <w:sz w:val="16"/>
                <w:szCs w:val="16"/>
              </w:rPr>
            </w:pP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A228F2" w:rsidRDefault="001A6813" w:rsidP="00220D99">
            <w:pPr>
              <w:pStyle w:val="Body"/>
              <w:tabs>
                <w:tab w:val="left" w:pos="567"/>
              </w:tabs>
              <w:spacing w:before="60" w:after="60"/>
              <w:rPr>
                <w:rFonts w:ascii="Times New Roman" w:hAnsi="Times New Roman" w:cs="Times New Roman"/>
                <w:sz w:val="20"/>
                <w:szCs w:val="20"/>
              </w:rPr>
            </w:pPr>
            <w:r w:rsidRPr="00A228F2">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22EB9364" w:rsidR="00641FAC" w:rsidRPr="00A228F2" w:rsidRDefault="00A228F2" w:rsidP="00A11FBA">
            <w:pPr>
              <w:pStyle w:val="Body"/>
              <w:tabs>
                <w:tab w:val="left" w:pos="567"/>
              </w:tabs>
              <w:spacing w:before="60" w:after="60"/>
              <w:rPr>
                <w:rFonts w:ascii="Times New Roman" w:hAnsi="Times New Roman" w:cs="Times New Roman"/>
                <w:sz w:val="20"/>
                <w:szCs w:val="20"/>
              </w:rPr>
            </w:pPr>
            <w:r w:rsidRPr="00A228F2">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A228F2" w:rsidRDefault="007C0B15" w:rsidP="00220D99">
            <w:pPr>
              <w:pStyle w:val="Body"/>
              <w:tabs>
                <w:tab w:val="left" w:pos="567"/>
              </w:tabs>
              <w:spacing w:before="60" w:after="60"/>
              <w:rPr>
                <w:rFonts w:ascii="Times New Roman" w:hAnsi="Times New Roman" w:cs="Times New Roman"/>
                <w:sz w:val="20"/>
                <w:szCs w:val="20"/>
                <w:highlight w:val="yellow"/>
              </w:rPr>
            </w:pPr>
            <w:r w:rsidRPr="00A228F2">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A228F2" w:rsidRDefault="00641FAC" w:rsidP="00A228F2">
            <w:pPr>
              <w:tabs>
                <w:tab w:val="left" w:pos="567"/>
              </w:tabs>
              <w:spacing w:before="60" w:after="60"/>
              <w:jc w:val="center"/>
              <w:rPr>
                <w:sz w:val="20"/>
                <w:szCs w:val="20"/>
                <w:highlight w:val="yellow"/>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5147F500" w:rsidR="001671C7" w:rsidRPr="00A228F2" w:rsidRDefault="00A11FBA" w:rsidP="001671C7">
            <w:pPr>
              <w:pStyle w:val="Body"/>
              <w:tabs>
                <w:tab w:val="left" w:pos="567"/>
              </w:tabs>
              <w:spacing w:before="60" w:after="60"/>
              <w:rPr>
                <w:rFonts w:ascii="Times New Roman" w:hAnsi="Times New Roman" w:cs="Times New Roman"/>
                <w:sz w:val="20"/>
                <w:szCs w:val="20"/>
                <w:highlight w:val="yellow"/>
              </w:rPr>
            </w:pPr>
            <w:r w:rsidRPr="00A11FBA">
              <w:rPr>
                <w:rFonts w:ascii="Times New Roman" w:hAnsi="Times New Roman" w:cs="Times New Roman"/>
                <w:sz w:val="20"/>
                <w:szCs w:val="20"/>
              </w:rPr>
              <w:t>Participation in practical course work</w:t>
            </w:r>
            <w:r w:rsidRPr="00A11FBA">
              <w:rPr>
                <w:rFonts w:ascii="Times New Roman" w:hAnsi="Times New Roman" w:cs="Times New Roman"/>
                <w:sz w:val="20"/>
                <w:szCs w:val="20"/>
                <w:highlight w:val="yellow"/>
              </w:rPr>
              <w:t xml:space="preserve">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02E60D54" w:rsidR="001671C7" w:rsidRPr="00392A53" w:rsidRDefault="00A11FBA" w:rsidP="00A11FBA">
            <w:pPr>
              <w:pStyle w:val="Body"/>
              <w:tabs>
                <w:tab w:val="left" w:pos="567"/>
              </w:tabs>
              <w:spacing w:before="60" w:after="60"/>
              <w:rPr>
                <w:rFonts w:ascii="Times New Roman" w:hAnsi="Times New Roman" w:cs="Times New Roman"/>
                <w:sz w:val="20"/>
                <w:szCs w:val="20"/>
              </w:rPr>
            </w:pPr>
            <w:r w:rsidRPr="00392A53">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A228F2" w:rsidRDefault="001671C7" w:rsidP="001671C7">
            <w:pPr>
              <w:pStyle w:val="Body"/>
              <w:tabs>
                <w:tab w:val="left" w:pos="567"/>
              </w:tabs>
              <w:spacing w:before="60" w:after="60"/>
              <w:rPr>
                <w:rFonts w:ascii="Times New Roman" w:hAnsi="Times New Roman" w:cs="Times New Roman"/>
                <w:sz w:val="20"/>
                <w:szCs w:val="20"/>
              </w:rPr>
            </w:pPr>
            <w:r w:rsidRPr="00A228F2">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629F8C11" w:rsidR="001671C7" w:rsidRPr="00A228F2" w:rsidRDefault="00A228F2" w:rsidP="00A11FBA">
            <w:pPr>
              <w:spacing w:before="60" w:after="60"/>
              <w:rPr>
                <w:sz w:val="20"/>
                <w:szCs w:val="20"/>
              </w:rPr>
            </w:pPr>
            <w:r w:rsidRPr="00A228F2">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2809A45F" w:rsidR="00D06004" w:rsidRPr="005F3A1E" w:rsidRDefault="00392A53" w:rsidP="001671C7">
            <w:pPr>
              <w:pStyle w:val="Body"/>
              <w:tabs>
                <w:tab w:val="left" w:pos="567"/>
              </w:tabs>
              <w:spacing w:before="60" w:after="60"/>
              <w:rPr>
                <w:rFonts w:ascii="Times New Roman" w:hAnsi="Times New Roman" w:cs="Times New Roman"/>
                <w:sz w:val="20"/>
                <w:szCs w:val="20"/>
              </w:rPr>
            </w:pPr>
            <w:r w:rsidRPr="00392A53">
              <w:rPr>
                <w:rFonts w:ascii="Times New Roman" w:hAnsi="Times New Roman" w:cs="Times New Roman"/>
                <w:sz w:val="20"/>
                <w:szCs w:val="20"/>
              </w:rPr>
              <w:t>Colloquium(s)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02FEF825" w:rsidR="00D06004" w:rsidRPr="00392A53" w:rsidRDefault="00A11FBA" w:rsidP="00A11FBA">
            <w:pPr>
              <w:pStyle w:val="Body"/>
              <w:tabs>
                <w:tab w:val="left" w:pos="567"/>
              </w:tabs>
              <w:spacing w:before="60" w:after="60"/>
              <w:rPr>
                <w:rFonts w:ascii="Times New Roman" w:hAnsi="Times New Roman" w:cs="Times New Roman"/>
                <w:sz w:val="20"/>
                <w:szCs w:val="20"/>
              </w:rPr>
            </w:pPr>
            <w:r w:rsidRPr="00392A53">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59B5EB31" w14:textId="77777777" w:rsidR="00983116" w:rsidRPr="005F3A1E" w:rsidRDefault="00983116" w:rsidP="00590613">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A449C" w14:textId="77777777" w:rsidR="000B7ADC" w:rsidRDefault="000B7ADC">
      <w:r>
        <w:separator/>
      </w:r>
    </w:p>
  </w:endnote>
  <w:endnote w:type="continuationSeparator" w:id="0">
    <w:p w14:paraId="0385DDF6" w14:textId="77777777" w:rsidR="000B7ADC" w:rsidRDefault="000B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80F64" w14:textId="77777777" w:rsidR="000B7ADC" w:rsidRDefault="000B7ADC">
      <w:r>
        <w:separator/>
      </w:r>
    </w:p>
  </w:footnote>
  <w:footnote w:type="continuationSeparator" w:id="0">
    <w:p w14:paraId="10BC6F18" w14:textId="77777777" w:rsidR="000B7ADC" w:rsidRDefault="000B7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B2371"/>
    <w:multiLevelType w:val="hybridMultilevel"/>
    <w:tmpl w:val="C6623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DC7F45"/>
    <w:multiLevelType w:val="hybridMultilevel"/>
    <w:tmpl w:val="9C4CAE08"/>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 w15:restartNumberingAfterBreak="0">
    <w:nsid w:val="2CAB4F5B"/>
    <w:multiLevelType w:val="hybridMultilevel"/>
    <w:tmpl w:val="F83237FE"/>
    <w:lvl w:ilvl="0" w:tplc="8DDA7FE6">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5"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9"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04EAA"/>
    <w:multiLevelType w:val="hybridMultilevel"/>
    <w:tmpl w:val="F38E5334"/>
    <w:lvl w:ilvl="0" w:tplc="F4DC4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445616">
    <w:abstractNumId w:val="10"/>
  </w:num>
  <w:num w:numId="2" w16cid:durableId="1314673424">
    <w:abstractNumId w:val="8"/>
  </w:num>
  <w:num w:numId="3" w16cid:durableId="456602225">
    <w:abstractNumId w:val="7"/>
  </w:num>
  <w:num w:numId="4" w16cid:durableId="361828475">
    <w:abstractNumId w:val="5"/>
  </w:num>
  <w:num w:numId="5" w16cid:durableId="318852222">
    <w:abstractNumId w:val="0"/>
  </w:num>
  <w:num w:numId="6" w16cid:durableId="1966039801">
    <w:abstractNumId w:val="11"/>
  </w:num>
  <w:num w:numId="7" w16cid:durableId="1612126058">
    <w:abstractNumId w:val="13"/>
  </w:num>
  <w:num w:numId="8" w16cid:durableId="744453742">
    <w:abstractNumId w:val="9"/>
  </w:num>
  <w:num w:numId="9" w16cid:durableId="1693678950">
    <w:abstractNumId w:val="6"/>
  </w:num>
  <w:num w:numId="10" w16cid:durableId="1961523443">
    <w:abstractNumId w:val="1"/>
  </w:num>
  <w:num w:numId="11" w16cid:durableId="767623272">
    <w:abstractNumId w:val="3"/>
  </w:num>
  <w:num w:numId="12" w16cid:durableId="1313827789">
    <w:abstractNumId w:val="4"/>
  </w:num>
  <w:num w:numId="13" w16cid:durableId="1954247624">
    <w:abstractNumId w:val="2"/>
  </w:num>
  <w:num w:numId="14" w16cid:durableId="620384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B55"/>
    <w:rsid w:val="00021232"/>
    <w:rsid w:val="00045EAD"/>
    <w:rsid w:val="00056088"/>
    <w:rsid w:val="0005613C"/>
    <w:rsid w:val="000B7ADC"/>
    <w:rsid w:val="000D7366"/>
    <w:rsid w:val="000E3F41"/>
    <w:rsid w:val="001226A1"/>
    <w:rsid w:val="00122DB5"/>
    <w:rsid w:val="001248E0"/>
    <w:rsid w:val="00141E71"/>
    <w:rsid w:val="00160A88"/>
    <w:rsid w:val="00160BCD"/>
    <w:rsid w:val="001671C7"/>
    <w:rsid w:val="00176BF6"/>
    <w:rsid w:val="00177D49"/>
    <w:rsid w:val="00192F3E"/>
    <w:rsid w:val="001A2AB6"/>
    <w:rsid w:val="001A6813"/>
    <w:rsid w:val="001B264A"/>
    <w:rsid w:val="002011A8"/>
    <w:rsid w:val="00220D99"/>
    <w:rsid w:val="00234CBD"/>
    <w:rsid w:val="00270C16"/>
    <w:rsid w:val="002714FF"/>
    <w:rsid w:val="00282EFE"/>
    <w:rsid w:val="002A40A7"/>
    <w:rsid w:val="002A57C6"/>
    <w:rsid w:val="002C5A1D"/>
    <w:rsid w:val="002E1476"/>
    <w:rsid w:val="00325620"/>
    <w:rsid w:val="00341AC8"/>
    <w:rsid w:val="00365985"/>
    <w:rsid w:val="00380C26"/>
    <w:rsid w:val="00385793"/>
    <w:rsid w:val="00386402"/>
    <w:rsid w:val="00392A53"/>
    <w:rsid w:val="00405D7A"/>
    <w:rsid w:val="00411BD1"/>
    <w:rsid w:val="004244F8"/>
    <w:rsid w:val="004921F7"/>
    <w:rsid w:val="004E0095"/>
    <w:rsid w:val="00500B0B"/>
    <w:rsid w:val="00502AE2"/>
    <w:rsid w:val="00523340"/>
    <w:rsid w:val="005507C5"/>
    <w:rsid w:val="005842F8"/>
    <w:rsid w:val="00590613"/>
    <w:rsid w:val="00592A50"/>
    <w:rsid w:val="00596027"/>
    <w:rsid w:val="005B2B23"/>
    <w:rsid w:val="005C19F6"/>
    <w:rsid w:val="005F3A1E"/>
    <w:rsid w:val="00623D25"/>
    <w:rsid w:val="006379EA"/>
    <w:rsid w:val="00641FAC"/>
    <w:rsid w:val="00662249"/>
    <w:rsid w:val="00664504"/>
    <w:rsid w:val="006653D8"/>
    <w:rsid w:val="00670F3B"/>
    <w:rsid w:val="00674A82"/>
    <w:rsid w:val="00676634"/>
    <w:rsid w:val="006C169C"/>
    <w:rsid w:val="006D2C6B"/>
    <w:rsid w:val="006D4128"/>
    <w:rsid w:val="006E4013"/>
    <w:rsid w:val="007464A4"/>
    <w:rsid w:val="00755A06"/>
    <w:rsid w:val="00757089"/>
    <w:rsid w:val="007604E9"/>
    <w:rsid w:val="007665F2"/>
    <w:rsid w:val="00774592"/>
    <w:rsid w:val="007B08CE"/>
    <w:rsid w:val="007C0B15"/>
    <w:rsid w:val="007C0B57"/>
    <w:rsid w:val="007D5816"/>
    <w:rsid w:val="007D5EF6"/>
    <w:rsid w:val="007E358C"/>
    <w:rsid w:val="007F1C56"/>
    <w:rsid w:val="007F75C2"/>
    <w:rsid w:val="00837E2E"/>
    <w:rsid w:val="008539E8"/>
    <w:rsid w:val="00875F92"/>
    <w:rsid w:val="008814DA"/>
    <w:rsid w:val="008936D1"/>
    <w:rsid w:val="008A4D74"/>
    <w:rsid w:val="008F5F56"/>
    <w:rsid w:val="00920682"/>
    <w:rsid w:val="009365C4"/>
    <w:rsid w:val="0096591A"/>
    <w:rsid w:val="00976629"/>
    <w:rsid w:val="00983116"/>
    <w:rsid w:val="00993B18"/>
    <w:rsid w:val="009E21AF"/>
    <w:rsid w:val="00A11FBA"/>
    <w:rsid w:val="00A228F2"/>
    <w:rsid w:val="00A330F4"/>
    <w:rsid w:val="00A55706"/>
    <w:rsid w:val="00A60CF7"/>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0787D"/>
    <w:rsid w:val="00C141EB"/>
    <w:rsid w:val="00C17C8C"/>
    <w:rsid w:val="00C2377E"/>
    <w:rsid w:val="00C237E1"/>
    <w:rsid w:val="00C62080"/>
    <w:rsid w:val="00C622C8"/>
    <w:rsid w:val="00C64583"/>
    <w:rsid w:val="00CA26B3"/>
    <w:rsid w:val="00CC51EC"/>
    <w:rsid w:val="00CD6E10"/>
    <w:rsid w:val="00CE6982"/>
    <w:rsid w:val="00CE7A4B"/>
    <w:rsid w:val="00D06004"/>
    <w:rsid w:val="00D123BD"/>
    <w:rsid w:val="00D21840"/>
    <w:rsid w:val="00D276F0"/>
    <w:rsid w:val="00D6443B"/>
    <w:rsid w:val="00D777A4"/>
    <w:rsid w:val="00D81E89"/>
    <w:rsid w:val="00DD205B"/>
    <w:rsid w:val="00DF3408"/>
    <w:rsid w:val="00E04ABA"/>
    <w:rsid w:val="00E04D20"/>
    <w:rsid w:val="00E36147"/>
    <w:rsid w:val="00E64EA3"/>
    <w:rsid w:val="00E72084"/>
    <w:rsid w:val="00EF07E3"/>
    <w:rsid w:val="00EF5CA3"/>
    <w:rsid w:val="00F3363F"/>
    <w:rsid w:val="00F45F3B"/>
    <w:rsid w:val="00F6640A"/>
    <w:rsid w:val="00F7529A"/>
    <w:rsid w:val="00F77D9A"/>
    <w:rsid w:val="00FC4E1F"/>
    <w:rsid w:val="00FD2A06"/>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BB99-739A-4CAF-8D6E-D296BDB1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1376</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cp:revision>
  <dcterms:created xsi:type="dcterms:W3CDTF">2026-05-11T21:11:00Z</dcterms:created>
  <dcterms:modified xsi:type="dcterms:W3CDTF">2026-06-05T13:12:00Z</dcterms:modified>
</cp:coreProperties>
</file>